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DEB023">
      <w:pPr>
        <w:jc w:val="center"/>
        <w:rPr>
          <w:rFonts w:ascii="仿宋" w:hAnsi="仿宋" w:eastAsia="仿宋" w:cs="仿宋"/>
          <w:color w:val="auto"/>
          <w:sz w:val="44"/>
          <w:szCs w:val="44"/>
          <w:u w:val="single"/>
          <w:lang w:eastAsia="zh-CN"/>
        </w:rPr>
      </w:pPr>
    </w:p>
    <w:p w14:paraId="699EBAC9">
      <w:pPr>
        <w:jc w:val="center"/>
        <w:rPr>
          <w:rFonts w:ascii="仿宋" w:hAnsi="仿宋" w:eastAsia="仿宋" w:cs="仿宋"/>
          <w:color w:val="auto"/>
          <w:sz w:val="44"/>
          <w:szCs w:val="44"/>
          <w:u w:val="single"/>
          <w:lang w:eastAsia="zh-CN"/>
        </w:rPr>
      </w:pPr>
    </w:p>
    <w:p w14:paraId="1F75A0CC">
      <w:pPr>
        <w:jc w:val="center"/>
        <w:rPr>
          <w:rFonts w:ascii="仿宋" w:hAnsi="仿宋" w:eastAsia="仿宋" w:cs="仿宋"/>
          <w:color w:val="auto"/>
          <w:sz w:val="44"/>
          <w:szCs w:val="44"/>
          <w:u w:val="single"/>
          <w:lang w:eastAsia="zh-CN"/>
        </w:rPr>
      </w:pPr>
    </w:p>
    <w:p w14:paraId="39DA78C1">
      <w:pPr>
        <w:jc w:val="center"/>
        <w:rPr>
          <w:rFonts w:ascii="仿宋" w:hAnsi="仿宋" w:eastAsia="仿宋" w:cs="仿宋"/>
          <w:color w:val="auto"/>
          <w:sz w:val="72"/>
          <w:szCs w:val="44"/>
          <w:lang w:eastAsia="zh-CN"/>
        </w:rPr>
      </w:pPr>
      <w:r>
        <w:rPr>
          <w:rFonts w:hint="eastAsia" w:ascii="仿宋" w:hAnsi="仿宋" w:eastAsia="仿宋" w:cs="仿宋"/>
          <w:color w:val="auto"/>
          <w:sz w:val="56"/>
          <w:szCs w:val="40"/>
          <w:lang w:eastAsia="zh-CN"/>
        </w:rPr>
        <w:t>广东省韶关生态环境监测中心站</w:t>
      </w:r>
      <w:r>
        <w:rPr>
          <w:rFonts w:hint="eastAsia" w:ascii="仿宋" w:hAnsi="仿宋" w:eastAsia="仿宋" w:cs="仿宋"/>
          <w:color w:val="auto"/>
          <w:sz w:val="72"/>
          <w:szCs w:val="44"/>
          <w:lang w:eastAsia="zh-CN"/>
        </w:rPr>
        <w:t>采购需求及实施计划</w:t>
      </w:r>
    </w:p>
    <w:p w14:paraId="3E686882">
      <w:pPr>
        <w:jc w:val="center"/>
        <w:rPr>
          <w:rFonts w:ascii="仿宋" w:hAnsi="仿宋" w:eastAsia="仿宋" w:cs="仿宋"/>
          <w:color w:val="auto"/>
          <w:sz w:val="72"/>
          <w:szCs w:val="44"/>
          <w:lang w:eastAsia="zh-CN"/>
        </w:rPr>
      </w:pPr>
      <w:r>
        <w:rPr>
          <w:rFonts w:hint="eastAsia" w:ascii="仿宋" w:hAnsi="仿宋" w:eastAsia="仿宋" w:cs="仿宋"/>
          <w:color w:val="auto"/>
          <w:sz w:val="72"/>
          <w:szCs w:val="44"/>
          <w:lang w:eastAsia="zh-CN"/>
        </w:rPr>
        <w:t>（自行采购）</w:t>
      </w:r>
    </w:p>
    <w:p w14:paraId="4204419A">
      <w:pPr>
        <w:jc w:val="center"/>
        <w:rPr>
          <w:rFonts w:ascii="仿宋" w:hAnsi="仿宋" w:eastAsia="仿宋" w:cs="仿宋"/>
          <w:color w:val="auto"/>
          <w:sz w:val="44"/>
          <w:szCs w:val="44"/>
          <w:lang w:eastAsia="zh-CN"/>
        </w:rPr>
      </w:pPr>
    </w:p>
    <w:p w14:paraId="05DA3EA0">
      <w:pPr>
        <w:jc w:val="center"/>
        <w:rPr>
          <w:rFonts w:ascii="仿宋" w:hAnsi="仿宋" w:eastAsia="仿宋" w:cs="仿宋"/>
          <w:color w:val="auto"/>
          <w:sz w:val="44"/>
          <w:szCs w:val="44"/>
          <w:lang w:eastAsia="zh-CN"/>
        </w:rPr>
      </w:pPr>
    </w:p>
    <w:p w14:paraId="5D41A25E">
      <w:pPr>
        <w:jc w:val="center"/>
        <w:rPr>
          <w:rFonts w:ascii="仿宋" w:hAnsi="仿宋" w:eastAsia="仿宋" w:cs="仿宋"/>
          <w:color w:val="auto"/>
          <w:sz w:val="44"/>
          <w:szCs w:val="44"/>
          <w:lang w:eastAsia="zh-CN"/>
        </w:rPr>
      </w:pPr>
    </w:p>
    <w:p w14:paraId="32C8EFC9">
      <w:pPr>
        <w:jc w:val="center"/>
        <w:rPr>
          <w:rFonts w:ascii="仿宋" w:hAnsi="仿宋" w:eastAsia="仿宋" w:cs="仿宋"/>
          <w:color w:val="auto"/>
          <w:sz w:val="44"/>
          <w:szCs w:val="44"/>
          <w:lang w:eastAsia="zh-CN"/>
        </w:rPr>
      </w:pPr>
    </w:p>
    <w:p w14:paraId="7858B564">
      <w:pPr>
        <w:spacing w:line="360" w:lineRule="auto"/>
        <w:ind w:firstLine="1920" w:firstLineChars="600"/>
        <w:rPr>
          <w:rFonts w:ascii="仿宋" w:hAnsi="仿宋" w:eastAsia="仿宋" w:cs="仿宋"/>
          <w:color w:val="auto"/>
          <w:sz w:val="32"/>
          <w:szCs w:val="32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项目名称：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>财务咨询服务采购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 xml:space="preserve"> </w:t>
      </w:r>
    </w:p>
    <w:p w14:paraId="55875218">
      <w:pPr>
        <w:rPr>
          <w:rFonts w:ascii="仿宋" w:hAnsi="仿宋" w:eastAsia="仿宋" w:cs="仿宋"/>
          <w:color w:val="auto"/>
          <w:sz w:val="44"/>
          <w:szCs w:val="44"/>
          <w:lang w:eastAsia="zh-CN"/>
        </w:rPr>
      </w:pPr>
    </w:p>
    <w:p w14:paraId="0700BBB3">
      <w:pPr>
        <w:rPr>
          <w:rFonts w:ascii="仿宋" w:hAnsi="仿宋" w:eastAsia="仿宋" w:cs="仿宋"/>
          <w:color w:val="auto"/>
          <w:sz w:val="44"/>
          <w:szCs w:val="44"/>
          <w:lang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pgNumType w:fmt="numberInDash" w:start="1"/>
          <w:cols w:space="720" w:num="1"/>
          <w:docGrid w:type="lines" w:linePitch="312" w:charSpace="0"/>
        </w:sectPr>
      </w:pPr>
    </w:p>
    <w:p w14:paraId="1B88C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eastAsia="zh-CN"/>
        </w:rPr>
        <w:t>一、项目概况</w:t>
      </w:r>
    </w:p>
    <w:p w14:paraId="6861D00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近年来，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广东省财政厅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eastAsia="zh-CN"/>
        </w:rPr>
        <w:t>、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广东省生态环境厅及广东省生态环境监测中心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对财务管理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eastAsia="zh-CN"/>
        </w:rPr>
        <w:t>的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要求持续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提高，财务工作需更加细致、严格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，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我站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需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不断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提升财务工作的规范性、准确性和时效性。为确保日常账务处理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eastAsia="zh-CN"/>
        </w:rPr>
        <w:t>、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政府财务报告编制、部门决算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编制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及国有资产系统管理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等工作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符合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财政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政策要求，现拟采购专业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eastAsia="zh-CN"/>
        </w:rPr>
        <w:t>的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财务咨询服务。</w:t>
      </w:r>
    </w:p>
    <w:p w14:paraId="190455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eastAsia="zh-CN"/>
        </w:rPr>
        <w:t>需求清单</w:t>
      </w:r>
    </w:p>
    <w:p w14:paraId="69D4A81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iCs/>
          <w:color w:val="auto"/>
          <w:sz w:val="30"/>
          <w:szCs w:val="30"/>
          <w:u w:val="none"/>
          <w:lang w:val="en-US" w:eastAsia="zh-CN"/>
        </w:rPr>
        <w:t>（一）服务内容及要求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9"/>
        <w:gridCol w:w="5063"/>
      </w:tblGrid>
      <w:tr w14:paraId="32738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9" w:type="dxa"/>
          </w:tcPr>
          <w:p w14:paraId="523EC83B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/>
                <w:b/>
                <w:bCs/>
                <w:iCs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iCs/>
                <w:color w:val="auto"/>
                <w:sz w:val="28"/>
                <w:szCs w:val="28"/>
                <w:u w:val="none"/>
              </w:rPr>
              <w:t>服务</w:t>
            </w:r>
            <w:r>
              <w:rPr>
                <w:rFonts w:hint="eastAsia" w:ascii="仿宋" w:hAnsi="仿宋" w:eastAsia="仿宋"/>
                <w:b/>
                <w:bCs/>
                <w:iCs/>
                <w:color w:val="auto"/>
                <w:sz w:val="28"/>
                <w:szCs w:val="28"/>
                <w:u w:val="none"/>
                <w:lang w:val="en-US" w:eastAsia="zh-CN"/>
              </w:rPr>
              <w:t>内容</w:t>
            </w:r>
          </w:p>
        </w:tc>
        <w:tc>
          <w:tcPr>
            <w:tcW w:w="5063" w:type="dxa"/>
          </w:tcPr>
          <w:p w14:paraId="3177AF3A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/>
                <w:b/>
                <w:bCs/>
                <w:iCs/>
                <w:color w:val="auto"/>
                <w:sz w:val="28"/>
                <w:szCs w:val="28"/>
                <w:u w:val="none"/>
                <w:vertAlign w:val="baseline"/>
              </w:rPr>
            </w:pPr>
            <w:r>
              <w:rPr>
                <w:rFonts w:hint="eastAsia" w:ascii="仿宋" w:hAnsi="仿宋" w:eastAsia="仿宋"/>
                <w:b/>
                <w:bCs/>
                <w:iCs/>
                <w:color w:val="auto"/>
                <w:sz w:val="28"/>
                <w:szCs w:val="28"/>
                <w:u w:val="none"/>
              </w:rPr>
              <w:t>具体要求</w:t>
            </w:r>
          </w:p>
        </w:tc>
      </w:tr>
      <w:tr w14:paraId="7879A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9" w:type="dxa"/>
            <w:vAlign w:val="center"/>
          </w:tcPr>
          <w:p w14:paraId="4C5BCA65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jc w:val="left"/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vertAlign w:val="baseline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政府财务报告编制咨询</w:t>
            </w:r>
          </w:p>
        </w:tc>
        <w:tc>
          <w:tcPr>
            <w:tcW w:w="5063" w:type="dxa"/>
          </w:tcPr>
          <w:p w14:paraId="61A84434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vertAlign w:val="baseline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1.指导报告编制流程，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协助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审核数据准确性；2.协助完成报告撰写，确保符合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财政部门和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《政府会计准则》要求。</w:t>
            </w:r>
          </w:p>
        </w:tc>
      </w:tr>
      <w:tr w14:paraId="63E16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9" w:type="dxa"/>
            <w:vAlign w:val="center"/>
          </w:tcPr>
          <w:p w14:paraId="53C776CA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jc w:val="left"/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年度部门决算编制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咨询</w:t>
            </w:r>
          </w:p>
        </w:tc>
        <w:tc>
          <w:tcPr>
            <w:tcW w:w="5063" w:type="dxa"/>
          </w:tcPr>
          <w:p w14:paraId="29215B46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vertAlign w:val="baseline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1.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协助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整理决算数据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eastAsia="zh-CN"/>
              </w:rPr>
              <w:t>、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编制决算报表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说明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及分析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报告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eastAsia="zh-CN"/>
              </w:rPr>
              <w:t>；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2.配合完成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上级单位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的审核与调整。</w:t>
            </w:r>
          </w:p>
        </w:tc>
      </w:tr>
      <w:tr w14:paraId="6AB2B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3459" w:type="dxa"/>
            <w:vAlign w:val="center"/>
          </w:tcPr>
          <w:p w14:paraId="3A23B83B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jc w:val="left"/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vertAlign w:val="baseline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日常账务处理咨询</w:t>
            </w:r>
          </w:p>
        </w:tc>
        <w:tc>
          <w:tcPr>
            <w:tcW w:w="5063" w:type="dxa"/>
          </w:tcPr>
          <w:p w14:paraId="2DAD4924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default" w:ascii="仿宋" w:hAnsi="仿宋" w:eastAsia="仿宋"/>
                <w:iCs/>
                <w:color w:val="auto"/>
                <w:sz w:val="28"/>
                <w:szCs w:val="28"/>
                <w:u w:val="none"/>
                <w:vertAlign w:val="baseline"/>
                <w:lang w:val="en-US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1.及时答复账务处理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疑难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问题，提供具体操作指导；2.每月和年末协助检查审核日常账务。</w:t>
            </w:r>
          </w:p>
        </w:tc>
      </w:tr>
      <w:tr w14:paraId="7BFF0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9" w:type="dxa"/>
            <w:vAlign w:val="center"/>
          </w:tcPr>
          <w:p w14:paraId="633F5C5B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jc w:val="left"/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vertAlign w:val="baseline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国有资产系统管理咨询</w:t>
            </w:r>
          </w:p>
        </w:tc>
        <w:tc>
          <w:tcPr>
            <w:tcW w:w="5063" w:type="dxa"/>
          </w:tcPr>
          <w:p w14:paraId="645FEF7C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vertAlign w:val="baseline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1.指导资产系统操作（如资产登记、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资产调拨、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折旧计提等）；2.协助完成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资产年度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报告编制。</w:t>
            </w:r>
          </w:p>
        </w:tc>
      </w:tr>
    </w:tbl>
    <w:p w14:paraId="4D5E77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楷体" w:hAnsi="楷体" w:eastAsia="楷体" w:cs="楷体"/>
          <w:b w:val="0"/>
          <w:bCs w:val="0"/>
          <w:iCs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Cs/>
          <w:color w:val="auto"/>
          <w:sz w:val="30"/>
          <w:szCs w:val="30"/>
          <w:u w:val="none"/>
          <w:lang w:val="en-US" w:eastAsia="zh-CN"/>
        </w:rPr>
        <w:t>（二）其他需求</w:t>
      </w:r>
    </w:p>
    <w:p w14:paraId="1CE6A14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1.保密要求：供应商需签订保密协议，确保数据安全。</w:t>
      </w:r>
    </w:p>
    <w:p w14:paraId="077562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2.人员资质：服务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团队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需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持有中级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会计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职称或以上资质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，并提供相关资质证明。</w:t>
      </w:r>
    </w:p>
    <w:p w14:paraId="058929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  <w:t>三、合同进度安排</w:t>
      </w:r>
    </w:p>
    <w:p w14:paraId="1E79A02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楷体" w:hAnsi="楷体" w:eastAsia="楷体" w:cs="楷体"/>
          <w:b w:val="0"/>
          <w:bCs w:val="0"/>
          <w:iCs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Cs/>
          <w:color w:val="auto"/>
          <w:sz w:val="30"/>
          <w:szCs w:val="30"/>
          <w:u w:val="none"/>
          <w:lang w:val="en-US" w:eastAsia="zh-CN"/>
        </w:rPr>
        <w:t>（一）时间安排</w:t>
      </w:r>
    </w:p>
    <w:p w14:paraId="61082D7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default" w:ascii="仿宋" w:hAnsi="仿宋" w:eastAsia="仿宋"/>
          <w:iCs/>
          <w:color w:val="auto"/>
          <w:sz w:val="30"/>
          <w:szCs w:val="30"/>
          <w:u w:val="none"/>
          <w:lang w:val="en-US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202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6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年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9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月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初做好服务采购申请，拟好采购需求及实施计划，将所有材料交办公室采购岗挂网采购；</w:t>
      </w:r>
    </w:p>
    <w:p w14:paraId="0127C1B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202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6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年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10-11月上旬确定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供应商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并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签订合同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eastAsia="zh-CN"/>
        </w:rPr>
        <w:t>，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支付合同首款；</w:t>
      </w:r>
    </w:p>
    <w:p w14:paraId="4EF1BE9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2027年10-11月完成所有服务项目并通过我站验收，支付合同尾款。</w:t>
      </w:r>
    </w:p>
    <w:p w14:paraId="1A0A05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楷体" w:hAnsi="楷体" w:eastAsia="楷体" w:cs="楷体"/>
          <w:b w:val="0"/>
          <w:bCs w:val="0"/>
          <w:iCs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Cs/>
          <w:color w:val="auto"/>
          <w:sz w:val="30"/>
          <w:szCs w:val="30"/>
          <w:u w:val="none"/>
          <w:lang w:val="en-US" w:eastAsia="zh-CN"/>
        </w:rPr>
        <w:t>（二）采购方式</w:t>
      </w:r>
    </w:p>
    <w:p w14:paraId="5A519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00" w:firstLineChars="200"/>
        <w:rPr>
          <w:rFonts w:hint="eastAsia" w:ascii="仿宋" w:hAnsi="仿宋" w:eastAsia="仿宋"/>
          <w:iCs/>
          <w:color w:val="0000FF"/>
          <w:sz w:val="30"/>
          <w:szCs w:val="30"/>
          <w:u w:val="none"/>
          <w:lang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</w:rPr>
        <w:t>自行采购</w:t>
      </w:r>
      <w:r>
        <w:rPr>
          <w:rFonts w:hint="eastAsia" w:ascii="仿宋" w:hAnsi="仿宋" w:eastAsia="仿宋"/>
          <w:iCs/>
          <w:color w:val="auto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采用</w:t>
      </w:r>
      <w:r>
        <w:rPr>
          <w:rFonts w:hint="eastAsia" w:ascii="仿宋" w:hAnsi="仿宋" w:eastAsia="仿宋"/>
          <w:iCs/>
          <w:color w:val="auto"/>
          <w:sz w:val="30"/>
          <w:szCs w:val="30"/>
        </w:rPr>
        <w:t>最低价中标</w:t>
      </w:r>
      <w:r>
        <w:rPr>
          <w:rFonts w:hint="eastAsia" w:ascii="仿宋" w:hAnsi="仿宋" w:eastAsia="仿宋"/>
          <w:iCs/>
          <w:color w:val="auto"/>
          <w:sz w:val="30"/>
          <w:szCs w:val="30"/>
          <w:lang w:eastAsia="zh-CN"/>
        </w:rPr>
        <w:t>。</w:t>
      </w:r>
    </w:p>
    <w:p w14:paraId="3F427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  <w:t>四、风险管控措施</w:t>
      </w:r>
    </w:p>
    <w:p w14:paraId="2BF2B91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/>
          <w:vertAlign w:val="baseli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Cs/>
          <w:color w:val="auto"/>
          <w:sz w:val="30"/>
          <w:szCs w:val="30"/>
          <w:u w:val="none"/>
          <w:lang w:val="en-US" w:eastAsia="zh-CN"/>
        </w:rPr>
        <w:t>（一）风险识别与应对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6113"/>
      </w:tblGrid>
      <w:tr w14:paraId="3D060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413" w:type="pct"/>
            <w:vAlign w:val="center"/>
          </w:tcPr>
          <w:p w14:paraId="1ABE9FB3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iCs/>
                <w:color w:val="auto"/>
                <w:sz w:val="28"/>
                <w:szCs w:val="28"/>
                <w:u w:val="none"/>
                <w:lang w:val="en-US" w:eastAsia="zh-CN"/>
              </w:rPr>
              <w:t>风险类型</w:t>
            </w:r>
          </w:p>
        </w:tc>
        <w:tc>
          <w:tcPr>
            <w:tcW w:w="3586" w:type="pct"/>
            <w:vAlign w:val="center"/>
          </w:tcPr>
          <w:p w14:paraId="421F0D34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iCs/>
                <w:color w:val="auto"/>
                <w:sz w:val="28"/>
                <w:szCs w:val="28"/>
                <w:u w:val="none"/>
                <w:lang w:val="en-US" w:eastAsia="zh-CN"/>
              </w:rPr>
              <w:t>应对措施</w:t>
            </w:r>
          </w:p>
        </w:tc>
      </w:tr>
      <w:tr w14:paraId="2DE54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413" w:type="pct"/>
            <w:vAlign w:val="center"/>
          </w:tcPr>
          <w:p w14:paraId="0EF54F92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数据安全风险</w:t>
            </w:r>
          </w:p>
        </w:tc>
        <w:tc>
          <w:tcPr>
            <w:tcW w:w="3586" w:type="pct"/>
            <w:vAlign w:val="center"/>
          </w:tcPr>
          <w:p w14:paraId="1C19F2E1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1.签订保密协议；2.限制供应商接触核心数据的权限。</w:t>
            </w:r>
          </w:p>
        </w:tc>
      </w:tr>
      <w:tr w14:paraId="5EB27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pct"/>
            <w:vAlign w:val="center"/>
          </w:tcPr>
          <w:p w14:paraId="488559BA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服务质量风险</w:t>
            </w:r>
          </w:p>
        </w:tc>
        <w:tc>
          <w:tcPr>
            <w:tcW w:w="3586" w:type="pct"/>
            <w:vAlign w:val="center"/>
          </w:tcPr>
          <w:p w14:paraId="0FE263C2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1.分阶段验收成果，未达标则限期整改；2.要求供应商提供过往同类项目案例。</w:t>
            </w:r>
          </w:p>
        </w:tc>
      </w:tr>
      <w:tr w14:paraId="63513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pct"/>
            <w:vAlign w:val="center"/>
          </w:tcPr>
          <w:p w14:paraId="58A01F39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人员变动风险</w:t>
            </w:r>
          </w:p>
        </w:tc>
        <w:tc>
          <w:tcPr>
            <w:tcW w:w="3586" w:type="pct"/>
            <w:vAlign w:val="center"/>
          </w:tcPr>
          <w:p w14:paraId="42A1507D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合同中约定核心人员不得更换，否则需提前30天报备并经采购方同意。</w:t>
            </w:r>
          </w:p>
        </w:tc>
      </w:tr>
    </w:tbl>
    <w:p w14:paraId="315FDD8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楷体" w:hAnsi="楷体" w:eastAsia="楷体" w:cs="楷体"/>
          <w:b w:val="0"/>
          <w:bCs w:val="0"/>
          <w:iCs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Cs/>
          <w:color w:val="auto"/>
          <w:sz w:val="30"/>
          <w:szCs w:val="30"/>
          <w:u w:val="none"/>
          <w:lang w:val="en-US" w:eastAsia="zh-CN"/>
        </w:rPr>
        <w:t>（二）争议解决机制</w:t>
      </w:r>
    </w:p>
    <w:p w14:paraId="6046F2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若服务过程中产生争议，双方优先协商解决；协商未果时，提交采购方所在地仲裁委员会仲裁。</w:t>
      </w:r>
    </w:p>
    <w:p w14:paraId="58B40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  <w:t>五、预算及付款方式</w:t>
      </w:r>
    </w:p>
    <w:p w14:paraId="5E4417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（一）资金来源：广东省韶关生态环境监测中心站监测运行业务经费。</w:t>
      </w:r>
    </w:p>
    <w:p w14:paraId="2905E9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预算金额：总费用不超过人民币4000元。</w:t>
      </w:r>
    </w:p>
    <w:p w14:paraId="763039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（二）付款方式：合同签订后5</w:t>
      </w:r>
      <w:bookmarkStart w:id="0" w:name="_GoBack"/>
      <w:bookmarkEnd w:id="0"/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个工作日内支付首款，服务完成并通过验收后支付尾款。</w:t>
      </w:r>
    </w:p>
    <w:p w14:paraId="4B52F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  <w:t>六、供应商资格要求</w:t>
      </w:r>
    </w:p>
    <w:p w14:paraId="512E524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（一）具备独立法人资格，经营范围包含财务咨询服务；</w:t>
      </w:r>
    </w:p>
    <w:p w14:paraId="4941AB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（二）近三年内承接过至少2个同类政府事业单位项目；</w:t>
      </w:r>
    </w:p>
    <w:p w14:paraId="08FE41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仿宋" w:hAnsi="仿宋" w:eastAsia="仿宋" w:cs="Times New Roman"/>
          <w:iCs/>
          <w:caps w:val="0"/>
          <w:snapToGrid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（三）未被列入政府采购失信名单。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_x000B__x000C_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7760ED">
    <w:pPr>
      <w:pStyle w:val="4"/>
      <w:jc w:val="right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1B860">
    <w:pPr>
      <w:pStyle w:val="4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47F94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689FAE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32806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C9394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2Y2YxMzJiZTBlOTk5YjUyNjg4NTFlMGM1YjAwZGQifQ=="/>
  </w:docVars>
  <w:rsids>
    <w:rsidRoot w:val="00F22C48"/>
    <w:rsid w:val="002C13B3"/>
    <w:rsid w:val="002F7C5D"/>
    <w:rsid w:val="00773916"/>
    <w:rsid w:val="008819F6"/>
    <w:rsid w:val="00F22C48"/>
    <w:rsid w:val="0212752C"/>
    <w:rsid w:val="022F1DB9"/>
    <w:rsid w:val="02315D47"/>
    <w:rsid w:val="0236721E"/>
    <w:rsid w:val="02727F11"/>
    <w:rsid w:val="02765FDF"/>
    <w:rsid w:val="02A971E8"/>
    <w:rsid w:val="02E22AC7"/>
    <w:rsid w:val="04006986"/>
    <w:rsid w:val="047302DC"/>
    <w:rsid w:val="04782540"/>
    <w:rsid w:val="04900276"/>
    <w:rsid w:val="06A40336"/>
    <w:rsid w:val="06C40975"/>
    <w:rsid w:val="08D5501E"/>
    <w:rsid w:val="092E3CA8"/>
    <w:rsid w:val="0932487A"/>
    <w:rsid w:val="09342FF5"/>
    <w:rsid w:val="0B335B7D"/>
    <w:rsid w:val="0BEE510E"/>
    <w:rsid w:val="0DFB33E4"/>
    <w:rsid w:val="0EA31596"/>
    <w:rsid w:val="0FFF4368"/>
    <w:rsid w:val="10601F7B"/>
    <w:rsid w:val="10C81EB5"/>
    <w:rsid w:val="11AC5664"/>
    <w:rsid w:val="124743B4"/>
    <w:rsid w:val="12584ADA"/>
    <w:rsid w:val="1296779C"/>
    <w:rsid w:val="15F0378C"/>
    <w:rsid w:val="16901EA2"/>
    <w:rsid w:val="173F355A"/>
    <w:rsid w:val="17A41E33"/>
    <w:rsid w:val="19BC28A3"/>
    <w:rsid w:val="19D46A86"/>
    <w:rsid w:val="19E86E5A"/>
    <w:rsid w:val="1A76530F"/>
    <w:rsid w:val="1B25736A"/>
    <w:rsid w:val="1B836942"/>
    <w:rsid w:val="1BFC0F69"/>
    <w:rsid w:val="1DEE6ADF"/>
    <w:rsid w:val="1F38650F"/>
    <w:rsid w:val="1FBD3667"/>
    <w:rsid w:val="20FD05AB"/>
    <w:rsid w:val="21636B5A"/>
    <w:rsid w:val="22A437DD"/>
    <w:rsid w:val="22B74156"/>
    <w:rsid w:val="22BA4E19"/>
    <w:rsid w:val="238B04C1"/>
    <w:rsid w:val="23D24AA0"/>
    <w:rsid w:val="252312F2"/>
    <w:rsid w:val="259207B1"/>
    <w:rsid w:val="259255D7"/>
    <w:rsid w:val="282F3137"/>
    <w:rsid w:val="28755DA6"/>
    <w:rsid w:val="291B477E"/>
    <w:rsid w:val="29400F3F"/>
    <w:rsid w:val="295F1957"/>
    <w:rsid w:val="2A086679"/>
    <w:rsid w:val="2B0725D6"/>
    <w:rsid w:val="2CB93A5C"/>
    <w:rsid w:val="2E0F4D21"/>
    <w:rsid w:val="2E9342DF"/>
    <w:rsid w:val="31902C9F"/>
    <w:rsid w:val="322F0CEE"/>
    <w:rsid w:val="335522A9"/>
    <w:rsid w:val="3459091D"/>
    <w:rsid w:val="34AE2DE1"/>
    <w:rsid w:val="39177E96"/>
    <w:rsid w:val="393578EF"/>
    <w:rsid w:val="393737A1"/>
    <w:rsid w:val="3B0A255D"/>
    <w:rsid w:val="3C023068"/>
    <w:rsid w:val="3DFE6453"/>
    <w:rsid w:val="3E1C66C7"/>
    <w:rsid w:val="3E5E28E2"/>
    <w:rsid w:val="3E6769B9"/>
    <w:rsid w:val="3F7942AE"/>
    <w:rsid w:val="3FC44DA3"/>
    <w:rsid w:val="3FD27D3A"/>
    <w:rsid w:val="4025387A"/>
    <w:rsid w:val="40B41773"/>
    <w:rsid w:val="41836F14"/>
    <w:rsid w:val="425A6618"/>
    <w:rsid w:val="429168A9"/>
    <w:rsid w:val="42C97360"/>
    <w:rsid w:val="43882D11"/>
    <w:rsid w:val="43F70C0F"/>
    <w:rsid w:val="460D5750"/>
    <w:rsid w:val="468C0D6B"/>
    <w:rsid w:val="49047F72"/>
    <w:rsid w:val="4A2D016F"/>
    <w:rsid w:val="4D084D22"/>
    <w:rsid w:val="4D72139F"/>
    <w:rsid w:val="501B74FB"/>
    <w:rsid w:val="51292B59"/>
    <w:rsid w:val="51392678"/>
    <w:rsid w:val="52076EBC"/>
    <w:rsid w:val="53C224CE"/>
    <w:rsid w:val="53E21FCA"/>
    <w:rsid w:val="540A1188"/>
    <w:rsid w:val="55361AEB"/>
    <w:rsid w:val="573F3A68"/>
    <w:rsid w:val="58774D5E"/>
    <w:rsid w:val="59277BCF"/>
    <w:rsid w:val="59CE3875"/>
    <w:rsid w:val="5A162CBE"/>
    <w:rsid w:val="5A4B3A12"/>
    <w:rsid w:val="5C270EC2"/>
    <w:rsid w:val="5D2D0CC1"/>
    <w:rsid w:val="5D5D1495"/>
    <w:rsid w:val="5D8D6E33"/>
    <w:rsid w:val="5D9619A0"/>
    <w:rsid w:val="5E48511F"/>
    <w:rsid w:val="61E1440B"/>
    <w:rsid w:val="62CA6F20"/>
    <w:rsid w:val="62E702AE"/>
    <w:rsid w:val="66461E1B"/>
    <w:rsid w:val="66A03019"/>
    <w:rsid w:val="670F2122"/>
    <w:rsid w:val="67645E94"/>
    <w:rsid w:val="67984BCC"/>
    <w:rsid w:val="68BB27DE"/>
    <w:rsid w:val="68C53F3C"/>
    <w:rsid w:val="69AA3A3E"/>
    <w:rsid w:val="6A1B4C63"/>
    <w:rsid w:val="6A753469"/>
    <w:rsid w:val="6B8A6F5F"/>
    <w:rsid w:val="6BC7504E"/>
    <w:rsid w:val="6C024845"/>
    <w:rsid w:val="6C6E0447"/>
    <w:rsid w:val="6D932E1E"/>
    <w:rsid w:val="6E9908DF"/>
    <w:rsid w:val="6EF714FA"/>
    <w:rsid w:val="70BF3967"/>
    <w:rsid w:val="70FF46DC"/>
    <w:rsid w:val="72717A8A"/>
    <w:rsid w:val="7390524E"/>
    <w:rsid w:val="74E36143"/>
    <w:rsid w:val="75934072"/>
    <w:rsid w:val="75C3539F"/>
    <w:rsid w:val="770C4E48"/>
    <w:rsid w:val="777029AA"/>
    <w:rsid w:val="78743A47"/>
    <w:rsid w:val="78FC507F"/>
    <w:rsid w:val="79712057"/>
    <w:rsid w:val="7A0E1E71"/>
    <w:rsid w:val="7A69595E"/>
    <w:rsid w:val="7AFD6FAE"/>
    <w:rsid w:val="7CC37933"/>
    <w:rsid w:val="7E5348AD"/>
    <w:rsid w:val="7EAF7631"/>
    <w:rsid w:val="7F111831"/>
    <w:rsid w:val="7F3216A0"/>
    <w:rsid w:val="7F54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9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99"/>
    <w:pPr>
      <w:ind w:firstLine="600" w:firstLineChars="200"/>
    </w:pPr>
    <w:rPr>
      <w:rFonts w:ascii="仿宋" w:hAnsi="仿宋" w:eastAsia="仿宋"/>
      <w:caps/>
      <w:sz w:val="30"/>
      <w:szCs w:val="30"/>
    </w:r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Revision"/>
    <w:hidden/>
    <w:unhideWhenUsed/>
    <w:qFormat/>
    <w:uiPriority w:val="99"/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customStyle="1" w:styleId="10">
    <w:name w:val="15"/>
    <w:basedOn w:val="8"/>
    <w:qFormat/>
    <w:uiPriority w:val="0"/>
    <w:rPr>
      <w:rFonts w:hint="default" w:ascii="Times New Roman" w:hAnsi="Times New Roman" w:cs="Times New Roman"/>
    </w:rPr>
  </w:style>
  <w:style w:type="paragraph" w:customStyle="1" w:styleId="11">
    <w:name w:val="正文正"/>
    <w:basedOn w:val="12"/>
    <w:qFormat/>
    <w:uiPriority w:val="0"/>
    <w:pPr>
      <w:spacing w:line="560" w:lineRule="exact"/>
      <w:ind w:firstLine="561"/>
    </w:pPr>
    <w:rPr>
      <w:rFonts w:eastAsia="仿宋_GB2312"/>
      <w:sz w:val="28"/>
      <w:szCs w:val="24"/>
    </w:rPr>
  </w:style>
  <w:style w:type="paragraph" w:customStyle="1" w:styleId="12">
    <w:name w:val="正文 New New New New New New New"/>
    <w:next w:val="13"/>
    <w:qFormat/>
    <w:uiPriority w:val="0"/>
    <w:pPr>
      <w:widowControl w:val="0"/>
      <w:jc w:val="both"/>
    </w:pPr>
    <w:rPr>
      <w:rFonts w:ascii="宋体" w:hAnsi="宋体" w:eastAsia="宋体" w:cs="Times New Roman"/>
      <w:kern w:val="16"/>
      <w:sz w:val="21"/>
      <w:szCs w:val="24"/>
      <w:lang w:val="en-US" w:eastAsia="zh-CN" w:bidi="ar-SA"/>
    </w:rPr>
  </w:style>
  <w:style w:type="paragraph" w:customStyle="1" w:styleId="13">
    <w:name w:val="正文文本 New"/>
    <w:basedOn w:val="14"/>
    <w:qFormat/>
    <w:uiPriority w:val="0"/>
    <w:pPr>
      <w:spacing w:line="360" w:lineRule="auto"/>
    </w:pPr>
    <w:rPr>
      <w:rFonts w:ascii="_x000B__x000C_" w:hAnsi="_x000B__x000C_"/>
      <w:sz w:val="24"/>
      <w:szCs w:val="20"/>
    </w:rPr>
  </w:style>
  <w:style w:type="paragraph" w:customStyle="1" w:styleId="14">
    <w:name w:val="正文 New New New New"/>
    <w:next w:val="1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正文缩进1"/>
    <w:basedOn w:val="1"/>
    <w:qFormat/>
    <w:uiPriority w:val="0"/>
    <w:pPr>
      <w:widowControl/>
      <w:ind w:firstLine="420"/>
      <w:jc w:val="left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976</Words>
  <Characters>1014</Characters>
  <Lines>17</Lines>
  <Paragraphs>4</Paragraphs>
  <TotalTime>14</TotalTime>
  <ScaleCrop>false</ScaleCrop>
  <LinksUpToDate>false</LinksUpToDate>
  <CharactersWithSpaces>1016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2024-02-07T07:47:00Z</dcterms:created>
  <dc:creator>admin</dc:creator>
  <cp:lastModifiedBy>李华</cp:lastModifiedBy>
  <cp:lastPrinted>2024-04-19T08:38:00Z</cp:lastPrinted>
  <dcterms:modified xsi:type="dcterms:W3CDTF">2026-08-31T07:10:03Z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78C21477D155426D8E2339C0EDDEB20B_13</vt:lpwstr>
  </property>
  <property fmtid="{D5CDD505-2E9C-101B-9397-08002B2CF9AE}" pid="4" name="KSOTemplateDocerSaveRecord">
    <vt:lpwstr>eyJoZGlkIjoiODJhZDJkZGZlYjM3MjdmZWQ0OTUzM2JmYTU0MzVkZjgiLCJ1c2VySWQiOiI3NzE3Njg3NjAifQ==</vt:lpwstr>
  </property>
</Properties>
</file>